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B0E0" w14:textId="2B35505B" w:rsidR="00C15951" w:rsidRDefault="00131F08" w:rsidP="00A57421">
      <w:r>
        <w:rPr>
          <w:noProof/>
          <w:color w:val="767171" w:themeColor="background2" w:themeShade="80"/>
        </w:rPr>
        <w:drawing>
          <wp:anchor distT="0" distB="0" distL="114300" distR="114300" simplePos="0" relativeHeight="251669504" behindDoc="0" locked="0" layoutInCell="1" allowOverlap="1" wp14:anchorId="74E6BE85" wp14:editId="28ED086C">
            <wp:simplePos x="0" y="0"/>
            <wp:positionH relativeFrom="column">
              <wp:posOffset>3688080</wp:posOffset>
            </wp:positionH>
            <wp:positionV relativeFrom="paragraph">
              <wp:posOffset>98425</wp:posOffset>
            </wp:positionV>
            <wp:extent cx="2468999" cy="320055"/>
            <wp:effectExtent l="0" t="0" r="7620" b="0"/>
            <wp:wrapNone/>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8">
                      <a:extLst>
                        <a:ext uri="{28A0092B-C50C-407E-A947-70E740481C1C}">
                          <a14:useLocalDpi xmlns:a14="http://schemas.microsoft.com/office/drawing/2010/main" val="0"/>
                        </a:ext>
                      </a:extLst>
                    </a:blip>
                    <a:stretch>
                      <a:fillRect/>
                    </a:stretch>
                  </pic:blipFill>
                  <pic:spPr>
                    <a:xfrm>
                      <a:off x="0" y="0"/>
                      <a:ext cx="2468999" cy="320055"/>
                    </a:xfrm>
                    <a:prstGeom prst="rect">
                      <a:avLst/>
                    </a:prstGeom>
                  </pic:spPr>
                </pic:pic>
              </a:graphicData>
            </a:graphic>
          </wp:anchor>
        </w:drawing>
      </w:r>
      <w:r w:rsidR="005010F9" w:rsidRPr="006A79D4">
        <w:rPr>
          <w:noProof/>
          <w:lang w:val="en-US"/>
        </w:rPr>
        <w:drawing>
          <wp:anchor distT="0" distB="0" distL="114300" distR="114300" simplePos="0" relativeHeight="251661312" behindDoc="0" locked="0" layoutInCell="1" allowOverlap="1" wp14:anchorId="372D67BE" wp14:editId="7E3876D2">
            <wp:simplePos x="0" y="0"/>
            <wp:positionH relativeFrom="column">
              <wp:posOffset>-625475</wp:posOffset>
            </wp:positionH>
            <wp:positionV relativeFrom="paragraph">
              <wp:posOffset>622</wp:posOffset>
            </wp:positionV>
            <wp:extent cx="3686175" cy="532765"/>
            <wp:effectExtent l="0" t="0" r="9525" b="635"/>
            <wp:wrapThrough wrapText="bothSides">
              <wp:wrapPolygon edited="0">
                <wp:start x="0" y="0"/>
                <wp:lineTo x="0" y="20853"/>
                <wp:lineTo x="8037" y="20853"/>
                <wp:lineTo x="21544" y="20853"/>
                <wp:lineTo x="21544" y="0"/>
                <wp:lineTo x="0" y="0"/>
              </wp:wrapPolygon>
            </wp:wrapThrough>
            <wp:docPr id="4" name="Picture 4" descr="L:\CoE\DLC\3. Website\3. Maneuver\Logo's\Aangepas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E\DLC\3. Website\3. Maneuver\Logo's\Aangepast logo 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12" b="5310"/>
                    <a:stretch/>
                  </pic:blipFill>
                  <pic:spPr bwMode="auto">
                    <a:xfrm>
                      <a:off x="0" y="0"/>
                      <a:ext cx="3686175" cy="532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3A55AC" w14:textId="6CA3C1A2" w:rsidR="003D63CC" w:rsidRPr="006A79D4" w:rsidRDefault="00091BE3" w:rsidP="00A57421">
      <w:pPr>
        <w:rPr>
          <w:color w:val="FFFFFF" w:themeColor="background1"/>
          <w:sz w:val="32"/>
          <w:szCs w:val="32"/>
        </w:rPr>
      </w:pPr>
      <w:r>
        <w:rPr>
          <w:noProof/>
          <w:lang w:val="en-US"/>
        </w:rPr>
        <w:drawing>
          <wp:anchor distT="0" distB="0" distL="114300" distR="114300" simplePos="0" relativeHeight="251666432" behindDoc="0" locked="0" layoutInCell="1" allowOverlap="1" wp14:anchorId="4B3322C9" wp14:editId="03CA58B5">
            <wp:simplePos x="0" y="0"/>
            <wp:positionH relativeFrom="page">
              <wp:posOffset>3312160</wp:posOffset>
            </wp:positionH>
            <wp:positionV relativeFrom="paragraph">
              <wp:posOffset>386503</wp:posOffset>
            </wp:positionV>
            <wp:extent cx="4243070" cy="1885950"/>
            <wp:effectExtent l="0" t="0" r="5080" b="0"/>
            <wp:wrapThrough wrapText="bothSides">
              <wp:wrapPolygon edited="0">
                <wp:start x="0" y="0"/>
                <wp:lineTo x="0" y="21382"/>
                <wp:lineTo x="21529" y="21382"/>
                <wp:lineTo x="215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307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1DC">
        <w:rPr>
          <w:noProof/>
          <w:lang w:val="en-US"/>
        </w:rPr>
        <mc:AlternateContent>
          <mc:Choice Requires="wps">
            <w:drawing>
              <wp:anchor distT="0" distB="0" distL="114300" distR="114300" simplePos="0" relativeHeight="251657215" behindDoc="0" locked="0" layoutInCell="1" allowOverlap="1" wp14:anchorId="04B9C983" wp14:editId="66744B14">
                <wp:simplePos x="0" y="0"/>
                <wp:positionH relativeFrom="page">
                  <wp:align>left</wp:align>
                </wp:positionH>
                <wp:positionV relativeFrom="paragraph">
                  <wp:posOffset>387350</wp:posOffset>
                </wp:positionV>
                <wp:extent cx="3327400" cy="1884680"/>
                <wp:effectExtent l="0" t="0" r="6350" b="1270"/>
                <wp:wrapNone/>
                <wp:docPr id="3" name="Rectangle 3"/>
                <wp:cNvGraphicFramePr/>
                <a:graphic xmlns:a="http://schemas.openxmlformats.org/drawingml/2006/main">
                  <a:graphicData uri="http://schemas.microsoft.com/office/word/2010/wordprocessingShape">
                    <wps:wsp>
                      <wps:cNvSpPr/>
                      <wps:spPr>
                        <a:xfrm>
                          <a:off x="0" y="0"/>
                          <a:ext cx="3327400" cy="1884680"/>
                        </a:xfrm>
                        <a:prstGeom prst="rect">
                          <a:avLst/>
                        </a:prstGeom>
                        <a:solidFill>
                          <a:srgbClr val="4E65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BFA2CC" w14:textId="77777777" w:rsidR="003A18A6" w:rsidRDefault="003A18A6" w:rsidP="00A57421">
                            <w:pPr>
                              <w:pStyle w:val="Tytu"/>
                            </w:pPr>
                          </w:p>
                          <w:p w14:paraId="5CD529EC" w14:textId="77777777" w:rsidR="003A18A6" w:rsidRPr="003A18A6" w:rsidRDefault="003A18A6" w:rsidP="00A57421"/>
                          <w:p w14:paraId="78B63D50" w14:textId="77777777" w:rsidR="006A79D4" w:rsidRPr="007000E6" w:rsidRDefault="006A79D4" w:rsidP="00971DE6">
                            <w:pPr>
                              <w:pStyle w:val="Tytu"/>
                            </w:pPr>
                            <w:r w:rsidRPr="007000E6">
                              <w:t xml:space="preserve">DLC </w:t>
                            </w:r>
                            <w:r w:rsidRPr="00971DE6">
                              <w:t>Countdown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9C983" id="Rectangle 3" o:spid="_x0000_s1027" style="position:absolute;left:0;text-align:left;margin-left:0;margin-top:30.5pt;width:262pt;height:148.4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45owIAAJgFAAAOAAAAZHJzL2Uyb0RvYy54bWysVEtv2zAMvg/YfxB0X+0kbpsFdYogXYcB&#10;RRu0HXpWZCk2IIuapMTOfv0o+dGsK3YYloMjih9fn0heXbe1IgdhXQU6p5OzlBKhORSV3uX0+/Pt&#10;pzklzjNdMAVa5PQoHL1efvxw1ZiFmEIJqhCWoBPtFo3Jaem9WSSJ46WomTsDIzQqJdiaeRTtLiks&#10;a9B7rZJpml4kDdjCWODCOby96ZR0Gf1LKbh/kNIJT1ROMTcfvzZ+t+GbLK/YYmeZKSvep8H+IYua&#10;VRqDjq5umGdkb6s/XNUVt+BA+jMOdQJSVlzEGrCaSfqmmqeSGRFrQXKcGWly/88tvz9sLKmKnM4o&#10;0azGJ3pE0pjeKUFmgZ7GuAWinszG9pLDY6i1lbYO/1gFaSOlx5FS0XrC8XI2m15mKTLPUTeZz7OL&#10;eSQ9eTU31vmvAmoSDjm1GD5SyQ53zmNIhA6QEM2BqorbSqko2N12rSw5MHzf7MvFeTYPOaPJbzCl&#10;A1hDMOvU4SYJpXXFxJM/KhFwSj8KiZxg+tOYSexGMcZhnAvtJ52qZIXowp+n+Buih/4NFjGX6DB4&#10;lhh/9N07GJCdk8F3l2WPD6YiNvNonP4tsc54tIiRQfvRuK402PccKKyqj9zhB5I6agJLvt22sV8i&#10;MtxsoThiD1nohssZflvhS94x5zfM4jTh6+OG8A/4kQqanEJ/oqQE+/O9+4DHJkctJQ1OZ07djz2z&#10;ghL1TWP7f55kWRjnKGTnl1MU7Klme6rR+3oN2CAT3EWGx2PAezUcpYX6BRfJKkRFFdMcY+eUezsI&#10;a99tDVxFXKxWEYYjbJi/00+GB+eB59Cpz+0Ls6ZvZ4+TcA/DJLPFm67usMFSw2rvQVax5V957V8A&#10;xz+2Ur+qwn45lSPqdaEufwEAAP//AwBQSwMEFAAGAAgAAAAhAPAcr2ndAAAABwEAAA8AAABkcnMv&#10;ZG93bnJldi54bWxMj0FPwzAMhe9I/IfISNxYupWWqjSdEGISFw5soF6zxjQVjVM1Wdf9e8wJTn7W&#10;s977XG0XN4gZp9B7UrBeJSCQWm966hR8HHZ3BYgQNRk9eEIFFwywra+vKl0af6Z3nPexExxCodQK&#10;bIxjKWVoLTodVn5EYu/LT05HXqdOmkmfOdwNcpMkuXS6J26wesRni+33/uQU+Lf00OR2l6XFi/ts&#10;Lq+znRqp1O3N8vQIIuIS/47hF5/RoWamoz+RCWJQwI9EBfmaJ7vZ5p7FUUGaPRQg60r+569/AAAA&#10;//8DAFBLAQItABQABgAIAAAAIQC2gziS/gAAAOEBAAATAAAAAAAAAAAAAAAAAAAAAABbQ29udGVu&#10;dF9UeXBlc10ueG1sUEsBAi0AFAAGAAgAAAAhADj9If/WAAAAlAEAAAsAAAAAAAAAAAAAAAAALwEA&#10;AF9yZWxzLy5yZWxzUEsBAi0AFAAGAAgAAAAhAA+KjjmjAgAAmAUAAA4AAAAAAAAAAAAAAAAALgIA&#10;AGRycy9lMm9Eb2MueG1sUEsBAi0AFAAGAAgAAAAhAPAcr2ndAAAABwEAAA8AAAAAAAAAAAAAAAAA&#10;/QQAAGRycy9kb3ducmV2LnhtbFBLBQYAAAAABAAEAPMAAAAHBgAAAAA=&#10;" fillcolor="#4e6548" stroked="f" strokeweight="1pt">
                <v:textbox>
                  <w:txbxContent>
                    <w:p w14:paraId="12BFA2CC" w14:textId="77777777" w:rsidR="003A18A6" w:rsidRDefault="003A18A6" w:rsidP="00A57421">
                      <w:pPr>
                        <w:pStyle w:val="Title"/>
                      </w:pPr>
                    </w:p>
                    <w:p w14:paraId="5CD529EC" w14:textId="77777777" w:rsidR="003A18A6" w:rsidRPr="003A18A6" w:rsidRDefault="003A18A6" w:rsidP="00A57421"/>
                    <w:p w14:paraId="78B63D50" w14:textId="77777777" w:rsidR="006A79D4" w:rsidRPr="007000E6" w:rsidRDefault="006A79D4" w:rsidP="00971DE6">
                      <w:pPr>
                        <w:pStyle w:val="Title"/>
                      </w:pPr>
                      <w:r w:rsidRPr="007000E6">
                        <w:t xml:space="preserve">DLC </w:t>
                      </w:r>
                      <w:r w:rsidRPr="00971DE6">
                        <w:t>Countdown</w:t>
                      </w:r>
                    </w:p>
                  </w:txbxContent>
                </v:textbox>
                <w10:wrap anchorx="page"/>
              </v:rect>
            </w:pict>
          </mc:Fallback>
        </mc:AlternateContent>
      </w:r>
      <w:r w:rsidR="005010F9" w:rsidRPr="006A79D4">
        <w:rPr>
          <w:noProof/>
          <w:lang w:val="en-US"/>
        </w:rPr>
        <w:drawing>
          <wp:anchor distT="0" distB="0" distL="114300" distR="114300" simplePos="0" relativeHeight="251662336" behindDoc="0" locked="0" layoutInCell="1" allowOverlap="1" wp14:anchorId="167129B7" wp14:editId="0E5A1718">
            <wp:simplePos x="0" y="0"/>
            <wp:positionH relativeFrom="column">
              <wp:posOffset>624840</wp:posOffset>
            </wp:positionH>
            <wp:positionV relativeFrom="paragraph">
              <wp:posOffset>149860</wp:posOffset>
            </wp:positionV>
            <wp:extent cx="2477770" cy="124460"/>
            <wp:effectExtent l="0" t="0" r="0" b="8890"/>
            <wp:wrapThrough wrapText="bothSides">
              <wp:wrapPolygon edited="0">
                <wp:start x="0" y="0"/>
                <wp:lineTo x="0" y="19837"/>
                <wp:lineTo x="21423" y="19837"/>
                <wp:lineTo x="21423"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77770" cy="124460"/>
                    </a:xfrm>
                    <a:prstGeom prst="rect">
                      <a:avLst/>
                    </a:prstGeom>
                  </pic:spPr>
                </pic:pic>
              </a:graphicData>
            </a:graphic>
            <wp14:sizeRelH relativeFrom="margin">
              <wp14:pctWidth>0</wp14:pctWidth>
            </wp14:sizeRelH>
            <wp14:sizeRelV relativeFrom="margin">
              <wp14:pctHeight>0</wp14:pctHeight>
            </wp14:sizeRelV>
          </wp:anchor>
        </w:drawing>
      </w:r>
      <w:r w:rsidR="005010F9">
        <w:rPr>
          <w:noProof/>
          <w:lang w:val="en-US"/>
        </w:rPr>
        <mc:AlternateContent>
          <mc:Choice Requires="wps">
            <w:drawing>
              <wp:anchor distT="0" distB="0" distL="114300" distR="114300" simplePos="0" relativeHeight="251663360" behindDoc="0" locked="0" layoutInCell="1" allowOverlap="1" wp14:anchorId="31349D61" wp14:editId="4A866BC7">
                <wp:simplePos x="0" y="0"/>
                <wp:positionH relativeFrom="column">
                  <wp:posOffset>466090</wp:posOffset>
                </wp:positionH>
                <wp:positionV relativeFrom="paragraph">
                  <wp:posOffset>894715</wp:posOffset>
                </wp:positionV>
                <wp:extent cx="432000" cy="432000"/>
                <wp:effectExtent l="0" t="0" r="6350" b="6350"/>
                <wp:wrapNone/>
                <wp:docPr id="77" name="Flowchart: Connector 77"/>
                <wp:cNvGraphicFramePr/>
                <a:graphic xmlns:a="http://schemas.openxmlformats.org/drawingml/2006/main">
                  <a:graphicData uri="http://schemas.microsoft.com/office/word/2010/wordprocessingShape">
                    <wps:wsp>
                      <wps:cNvSpPr/>
                      <wps:spPr>
                        <a:xfrm>
                          <a:off x="0" y="0"/>
                          <a:ext cx="432000" cy="432000"/>
                        </a:xfrm>
                        <a:prstGeom prst="flowChartConnector">
                          <a:avLst/>
                        </a:prstGeom>
                        <a:solidFill>
                          <a:srgbClr val="E2D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94595" w14:textId="77777777" w:rsidR="003A18A6" w:rsidRPr="00091BE3" w:rsidRDefault="003A18A6" w:rsidP="00971DE6">
                            <w:pPr>
                              <w:pStyle w:val="CountdownNumber"/>
                            </w:pPr>
                            <w:r w:rsidRPr="00971DE6">
                              <w:t>0</w:t>
                            </w:r>
                            <w:r w:rsidR="0063663E">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49D6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7" o:spid="_x0000_s1028" type="#_x0000_t120" style="position:absolute;left:0;text-align:left;margin-left:36.7pt;margin-top:70.45pt;width:34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36oQIAAKEFAAAOAAAAZHJzL2Uyb0RvYy54bWysVE1v2zAMvQ/YfxB0X51kHx2MOkWQLMOA&#10;og3WDj0rshwbkEWNUmJnv36UZLtbV+ww7GJTIvlIPpG8uu5bzU4KXQOm4POLGWfKSCgbcyj4t4ft&#10;m4+cOS9MKTQYVfCzcvx6+frVVWdztYAadKmQEYhxeWcLXntv8yxzslatcBdglSFlBdgKT0c8ZCWK&#10;jtBbnS1msw9ZB1haBKmco9tNUvJlxK8qJf1dVTnlmS445ebjF+N3H77Z8krkBxS2buSQhviHLFrR&#10;GAo6QW2EF+yIzR9QbSMRHFT+QkKbQVU1UsUaqJr57Fk197WwKtZC5Dg70eT+H6y8Pe2QNWXBLy85&#10;M6KlN9pq6GQt0OdsDcYQh4CM1MRVZ11OLvd2h8PJkRgK7ytsw59KYn3k9zzxq3rPJF2+e0tPRq8g&#10;STXIhJI9OVt0/rOClgWh4BUlsg6JTGlEjsXpxvnkODqEyA50U24breMBD/u1RnYS9PCfFpvtZhXy&#10;p1i/mWkTjA0Et6QON1koMxUWJX/WKthp81VVRBaVsoiZxDZVUxwhpTJ+nlS1KFUK/56Kjp0WoofG&#10;Dh4xlwgYkCuKP2EPAKNlAhmxU5aDfXBVscsn59nfEkvOk0eMDMZPzm1jAF8C0FTVEDnZjyQlagJL&#10;vt/3sZEWY6PsoTxTcyGkqXNWbht61xvh/E4gjRm1Aq0Of0ef8NQFh0HirAb88dJ9sKfuJy1nHY1t&#10;wd33o0DFmf5iaC7CjI8CjsJ+FMyxXQM1xJyWkpVRJAf0ehQrhPaRNsoqRCGVMJJiFVx6HA9rn9YH&#10;7SSpVqtoRrNshb8x91YG8MBr6MyH/lGgHZrZ0xTcwjjSIn/Wxck2eBpYHT1UTWzxwGzicWCc9kBs&#10;nWFnhUXz6zlaPW3W5U8AAAD//wMAUEsDBBQABgAIAAAAIQCRLLys3wAAAAoBAAAPAAAAZHJzL2Rv&#10;d25yZXYueG1sTI/BTsMwDIbvSLxDZCRuLOmoYOuaTgiEkJBAYnBgt6zx2kLjRE26lbfHO8HRvz/9&#10;/lyuJ9eLAw6x86QhmykQSLW3HTUaPt4frxYgYjJkTe8JNfxghHV1flaawvojveFhkxrBJRQLo6FN&#10;KRRSxrpFZ+LMByTe7f3gTOJxaKQdzJHLXS/nSt1IZzriC60JeN9i/b0ZnYZOPmXNw3Z8qbdfqMbn&#10;ENrXz6D15cV0twKRcEp/MJz0WR0qdtr5kWwUvYbb65xJznO1BHEC8oyTnYa5WixBVqX8/0L1CwAA&#10;//8DAFBLAQItABQABgAIAAAAIQC2gziS/gAAAOEBAAATAAAAAAAAAAAAAAAAAAAAAABbQ29udGVu&#10;dF9UeXBlc10ueG1sUEsBAi0AFAAGAAgAAAAhADj9If/WAAAAlAEAAAsAAAAAAAAAAAAAAAAALwEA&#10;AF9yZWxzLy5yZWxzUEsBAi0AFAAGAAgAAAAhAHOyLfqhAgAAoQUAAA4AAAAAAAAAAAAAAAAALgIA&#10;AGRycy9lMm9Eb2MueG1sUEsBAi0AFAAGAAgAAAAhAJEsvKzfAAAACgEAAA8AAAAAAAAAAAAAAAAA&#10;+wQAAGRycy9kb3ducmV2LnhtbFBLBQYAAAAABAAEAPMAAAAHBgAAAAA=&#10;" fillcolor="#e2dfda" stroked="f" strokeweight="1pt">
                <v:stroke joinstyle="miter"/>
                <v:textbox inset="0,0,0,0">
                  <w:txbxContent>
                    <w:p w14:paraId="7EC94595" w14:textId="77777777" w:rsidR="003A18A6" w:rsidRPr="00091BE3" w:rsidRDefault="003A18A6" w:rsidP="00971DE6">
                      <w:pPr>
                        <w:pStyle w:val="CountdownNumber"/>
                      </w:pPr>
                      <w:r w:rsidRPr="00971DE6">
                        <w:t>0</w:t>
                      </w:r>
                      <w:r w:rsidR="0063663E">
                        <w:t>1</w:t>
                      </w:r>
                    </w:p>
                  </w:txbxContent>
                </v:textbox>
              </v:shape>
            </w:pict>
          </mc:Fallback>
        </mc:AlternateContent>
      </w:r>
    </w:p>
    <w:p w14:paraId="6FF56838" w14:textId="77777777" w:rsidR="006A79D4" w:rsidRDefault="006A79D4" w:rsidP="00A57421">
      <w:pPr>
        <w:pStyle w:val="Nagwek2"/>
      </w:pPr>
    </w:p>
    <w:p w14:paraId="34AC2A27" w14:textId="77777777" w:rsidR="006A79D4" w:rsidRDefault="006A79D4" w:rsidP="00A57421">
      <w:pPr>
        <w:pStyle w:val="Nagwek2"/>
      </w:pPr>
    </w:p>
    <w:p w14:paraId="4BD9E3AC" w14:textId="77777777" w:rsidR="006A79D4" w:rsidRDefault="006A79D4" w:rsidP="00A57421">
      <w:pPr>
        <w:pStyle w:val="Nagwek2"/>
      </w:pPr>
    </w:p>
    <w:p w14:paraId="01001E98" w14:textId="77777777" w:rsidR="00A80575" w:rsidRPr="00A80575" w:rsidRDefault="00A80575" w:rsidP="00BC3BFD">
      <w:pPr>
        <w:pStyle w:val="Nagwek1"/>
      </w:pPr>
    </w:p>
    <w:p w14:paraId="7CA27047" w14:textId="77777777" w:rsidR="00BC3BFD" w:rsidRDefault="00BC3BFD" w:rsidP="00BC3BFD">
      <w:pPr>
        <w:pStyle w:val="Nagwek1"/>
      </w:pPr>
      <w:r>
        <w:t>european competition rules relating to distribution, agency and supply agreements about to change</w:t>
      </w:r>
    </w:p>
    <w:p w14:paraId="7EBA436F" w14:textId="77777777" w:rsidR="00BC3BFD" w:rsidRDefault="00BC3BFD" w:rsidP="00BC3BFD">
      <w:pPr>
        <w:pStyle w:val="Nagwek1"/>
      </w:pPr>
      <w:r>
        <w:t xml:space="preserve">commencement of </w:t>
      </w:r>
      <w:r w:rsidR="001072A2">
        <w:t xml:space="preserve">DLC </w:t>
      </w:r>
      <w:r>
        <w:t xml:space="preserve">COUNTDOWN </w:t>
      </w:r>
      <w:r w:rsidR="001072A2">
        <w:t>NEWSLETTERS</w:t>
      </w:r>
    </w:p>
    <w:p w14:paraId="4AB9F76E" w14:textId="77777777" w:rsidR="00BC3BFD" w:rsidRDefault="00BC3BFD" w:rsidP="00BC3BFD">
      <w:pPr>
        <w:pStyle w:val="Nagwek1"/>
      </w:pPr>
      <w:r>
        <w:t xml:space="preserve">getting ready for 1 june 2022 </w:t>
      </w:r>
    </w:p>
    <w:p w14:paraId="5B560569" w14:textId="77777777" w:rsidR="006661FE" w:rsidRPr="000E7E18" w:rsidRDefault="002F386A" w:rsidP="00971DE6">
      <w:pPr>
        <w:pStyle w:val="Nagwek2"/>
      </w:pPr>
      <w:r w:rsidRPr="00971DE6">
        <w:t>What</w:t>
      </w:r>
      <w:r w:rsidRPr="000E7E18">
        <w:t>?</w:t>
      </w:r>
      <w:r w:rsidR="002D0F96" w:rsidRPr="002D0F96">
        <w:t xml:space="preserve"> </w:t>
      </w:r>
    </w:p>
    <w:p w14:paraId="0E1A6DCE" w14:textId="755560EE" w:rsidR="0063663E" w:rsidRDefault="0063663E" w:rsidP="0063663E">
      <w:r>
        <w:t xml:space="preserve">No business wants to run the risk that its distribution, agency or supply agreements (also known as </w:t>
      </w:r>
      <w:r w:rsidRPr="002F3822">
        <w:t>“</w:t>
      </w:r>
      <w:r w:rsidRPr="001D1D01">
        <w:rPr>
          <w:b/>
        </w:rPr>
        <w:t>vertical agreements</w:t>
      </w:r>
      <w:r>
        <w:t xml:space="preserve">”) are </w:t>
      </w:r>
      <w:r w:rsidR="00E82CD1">
        <w:t xml:space="preserve">found to be </w:t>
      </w:r>
      <w:r>
        <w:t>unlawful and invalid. Even worse, no business wants to be trapped by a competition authority and pay fines</w:t>
      </w:r>
      <w:r w:rsidR="00F8236F">
        <w:t xml:space="preserve"> or be sued by its clients for private damages</w:t>
      </w:r>
      <w:r>
        <w:t xml:space="preserve"> because of such unlawfulness. Compliance with competition law is key and the only sensible way forward. </w:t>
      </w:r>
    </w:p>
    <w:p w14:paraId="26F33774" w14:textId="7B3E3F37" w:rsidR="0063663E" w:rsidRDefault="0063663E" w:rsidP="0063663E">
      <w:r>
        <w:t xml:space="preserve">The most efficient way to secure the validity and enforceability of vertical agreements under EU competition rules is to make use of a so-called </w:t>
      </w:r>
      <w:r w:rsidR="003A1844">
        <w:t>“</w:t>
      </w:r>
      <w:r w:rsidRPr="001D1D01">
        <w:rPr>
          <w:b/>
        </w:rPr>
        <w:t>block exemption</w:t>
      </w:r>
      <w:r w:rsidR="003A1844">
        <w:rPr>
          <w:bCs/>
        </w:rPr>
        <w:t>”</w:t>
      </w:r>
      <w:r w:rsidRPr="003A1844">
        <w:t xml:space="preserve">. </w:t>
      </w:r>
      <w:r>
        <w:t xml:space="preserve">The concept of a block exemption is rather straightforward and relies on a </w:t>
      </w:r>
      <w:r w:rsidRPr="002F3822">
        <w:rPr>
          <w:bCs/>
        </w:rPr>
        <w:t>“</w:t>
      </w:r>
      <w:r w:rsidRPr="001072A2">
        <w:rPr>
          <w:b/>
        </w:rPr>
        <w:t>tick the box</w:t>
      </w:r>
      <w:r w:rsidRPr="002F3822">
        <w:rPr>
          <w:bCs/>
        </w:rPr>
        <w:t>”</w:t>
      </w:r>
      <w:r w:rsidRPr="001072A2">
        <w:rPr>
          <w:b/>
        </w:rPr>
        <w:t xml:space="preserve"> exercise</w:t>
      </w:r>
      <w:r>
        <w:t xml:space="preserve">. If that exercise is </w:t>
      </w:r>
      <w:r w:rsidR="006E53A2">
        <w:t>successfully carried out</w:t>
      </w:r>
      <w:r w:rsidR="00690A9E">
        <w:t>,</w:t>
      </w:r>
      <w:r w:rsidR="006E53A2">
        <w:t xml:space="preserve"> </w:t>
      </w:r>
      <w:r>
        <w:t xml:space="preserve">the agreement and each of its restrictions benefit from an automatic exemption. No problems of validity or enforceability, no risk of fines. The block exemption operates therefore as a safe harbour for distribution, agency and supply agreements. </w:t>
      </w:r>
    </w:p>
    <w:p w14:paraId="5BA318C8" w14:textId="1A91DB48" w:rsidR="0063663E" w:rsidRDefault="0063663E" w:rsidP="0063663E">
      <w:r>
        <w:t xml:space="preserve">It is a must for </w:t>
      </w:r>
      <w:r w:rsidRPr="001072A2">
        <w:rPr>
          <w:b/>
        </w:rPr>
        <w:t>legal practitioners</w:t>
      </w:r>
      <w:r>
        <w:t xml:space="preserve"> (both in-house and external) to be familiar with the block exemption and its requirements. Better safe than sorry. The block exemption is relevant in every EEA country and in every line of business. </w:t>
      </w:r>
    </w:p>
    <w:p w14:paraId="1AFAA0FA" w14:textId="77777777" w:rsidR="000E7E18" w:rsidRDefault="000E7E18" w:rsidP="00A57421">
      <w:pPr>
        <w:pStyle w:val="Nagwek2"/>
      </w:pPr>
      <w:r>
        <w:lastRenderedPageBreak/>
        <w:t>Now?</w:t>
      </w:r>
    </w:p>
    <w:p w14:paraId="1BFE5503" w14:textId="3495AD7E" w:rsidR="0063663E" w:rsidRDefault="0063663E" w:rsidP="0063663E">
      <w:r>
        <w:t xml:space="preserve">Currently, Commission Regulation 330/2010 provides the block exemption that applies to distribution, agency and supply agreements. It is often referred to as the </w:t>
      </w:r>
      <w:r w:rsidR="00FF6FE4">
        <w:t>“</w:t>
      </w:r>
      <w:r w:rsidRPr="001072A2">
        <w:rPr>
          <w:b/>
        </w:rPr>
        <w:t>VBER</w:t>
      </w:r>
      <w:r w:rsidR="00FF6FE4" w:rsidRPr="00FF6FE4">
        <w:rPr>
          <w:bCs/>
        </w:rPr>
        <w:t>”</w:t>
      </w:r>
      <w:r>
        <w:t xml:space="preserve">. The VBER is accompanied by the </w:t>
      </w:r>
      <w:r w:rsidR="001B4FBB">
        <w:t>“</w:t>
      </w:r>
      <w:r w:rsidRPr="001072A2">
        <w:rPr>
          <w:b/>
        </w:rPr>
        <w:t>Vertical Guidelines</w:t>
      </w:r>
      <w:r w:rsidR="001B4FBB">
        <w:rPr>
          <w:bCs/>
        </w:rPr>
        <w:t>”</w:t>
      </w:r>
      <w:r w:rsidR="006E53A2">
        <w:t xml:space="preserve">, which </w:t>
      </w:r>
      <w:r>
        <w:t xml:space="preserve">are designed to help businesses to assess the distribution law rules. </w:t>
      </w:r>
    </w:p>
    <w:p w14:paraId="071024CB" w14:textId="77777777" w:rsidR="0063663E" w:rsidRDefault="0063663E" w:rsidP="0063663E">
      <w:r w:rsidRPr="001072A2">
        <w:rPr>
          <w:b/>
        </w:rPr>
        <w:t>The VBER’s impact is wide ranging</w:t>
      </w:r>
      <w:r w:rsidRPr="001B4FBB">
        <w:rPr>
          <w:bCs/>
        </w:rPr>
        <w:t xml:space="preserve">. </w:t>
      </w:r>
      <w:r>
        <w:t xml:space="preserve">It covers all types of distribution set-ups, including exclusive distribution, selective distribution, free distribution, agency and franchising. It contains rules concerning e-commerce. It addresses specific restrictions such as limitations on the setting of prices, exclusivity, territorial restrictions, location clauses, customer restrictions, non-compete obligations and the like. </w:t>
      </w:r>
    </w:p>
    <w:p w14:paraId="116024EA" w14:textId="77777777" w:rsidR="0063663E" w:rsidRPr="001072A2" w:rsidRDefault="0063663E" w:rsidP="0063663E">
      <w:pPr>
        <w:rPr>
          <w:b/>
        </w:rPr>
      </w:pPr>
      <w:r w:rsidRPr="001072A2">
        <w:rPr>
          <w:b/>
        </w:rPr>
        <w:t xml:space="preserve">The VBER will expire on 31 May 2022.  </w:t>
      </w:r>
    </w:p>
    <w:p w14:paraId="3074DC15" w14:textId="77777777" w:rsidR="001D06A7" w:rsidRDefault="001D06A7" w:rsidP="001D06A7">
      <w:pPr>
        <w:pStyle w:val="Nagwek2"/>
      </w:pPr>
      <w:r>
        <w:t>The future as of 1 June 2022?</w:t>
      </w:r>
    </w:p>
    <w:p w14:paraId="0E2BD884" w14:textId="1303A499" w:rsidR="0063663E" w:rsidRDefault="0063663E" w:rsidP="0063663E">
      <w:r>
        <w:t xml:space="preserve">Preparations for the new block exemption regime are in full swing. The European Commission has published its proposals for a </w:t>
      </w:r>
      <w:r w:rsidRPr="001072A2">
        <w:rPr>
          <w:b/>
        </w:rPr>
        <w:t>new VBER</w:t>
      </w:r>
      <w:r>
        <w:t xml:space="preserve"> and a </w:t>
      </w:r>
      <w:r w:rsidRPr="001072A2">
        <w:rPr>
          <w:b/>
        </w:rPr>
        <w:t>new set of Vertical Guidelines</w:t>
      </w:r>
      <w:r>
        <w:t xml:space="preserve">. Public and expert consultations are in the meantime taking place. The general direction for the future is therefore gradually becoming known. </w:t>
      </w:r>
      <w:r w:rsidR="00E82CD1" w:rsidRPr="00D81D84">
        <w:t>Amended proposals are expected to be released beginning 2022.</w:t>
      </w:r>
    </w:p>
    <w:p w14:paraId="431DECFC" w14:textId="77777777" w:rsidR="0063663E" w:rsidRDefault="0063663E" w:rsidP="0063663E">
      <w:r w:rsidRPr="001072A2">
        <w:rPr>
          <w:b/>
        </w:rPr>
        <w:t>Important changes</w:t>
      </w:r>
      <w:r>
        <w:t xml:space="preserve"> are in the pipeline</w:t>
      </w:r>
      <w:r w:rsidR="006E53A2">
        <w:t>,</w:t>
      </w:r>
      <w:r>
        <w:t xml:space="preserve"> affecting all players in the field operating at different levels of the production or distribution chain. These new rules will apply with respect to any offline and online businesses, and those of their suppliers, customers, distributors and competitors. Put differently, these changes will have a direct impact on every company that makes use of distribution agreements.</w:t>
      </w:r>
    </w:p>
    <w:p w14:paraId="6E195FC1" w14:textId="2E052D57" w:rsidR="0063663E" w:rsidRDefault="0063663E" w:rsidP="0063663E">
      <w:r>
        <w:t xml:space="preserve">However, the differences with the existing VBER regime are often </w:t>
      </w:r>
      <w:r w:rsidR="006E53A2">
        <w:t>rather</w:t>
      </w:r>
      <w:r>
        <w:t xml:space="preserve"> </w:t>
      </w:r>
      <w:r w:rsidRPr="001072A2">
        <w:rPr>
          <w:b/>
        </w:rPr>
        <w:t>technical</w:t>
      </w:r>
      <w:r>
        <w:t xml:space="preserve"> and the practical implications are not always immediately apparent. It is therefore not so easy to know what is coming and</w:t>
      </w:r>
      <w:r w:rsidR="006E53A2">
        <w:t xml:space="preserve"> how to best prepare</w:t>
      </w:r>
      <w:r>
        <w:t>. This may lead to legal uncertainty and therefore</w:t>
      </w:r>
      <w:r w:rsidR="006E53A2">
        <w:t>,</w:t>
      </w:r>
      <w:r>
        <w:t xml:space="preserve"> up-to-date guidance is key.</w:t>
      </w:r>
    </w:p>
    <w:p w14:paraId="5E7B51A4" w14:textId="77777777" w:rsidR="001D06A7" w:rsidRDefault="0063663E" w:rsidP="001D06A7">
      <w:pPr>
        <w:pStyle w:val="Nagwek2"/>
      </w:pPr>
      <w:r>
        <w:t xml:space="preserve">The Distribution Law </w:t>
      </w:r>
      <w:proofErr w:type="spellStart"/>
      <w:r>
        <w:t>Center</w:t>
      </w:r>
      <w:proofErr w:type="spellEnd"/>
      <w:r>
        <w:t xml:space="preserve"> is your safe harbour…</w:t>
      </w:r>
    </w:p>
    <w:p w14:paraId="3BF7FB63" w14:textId="6D2D83FA" w:rsidR="0063663E" w:rsidRDefault="0063663E" w:rsidP="0063663E">
      <w:r>
        <w:t xml:space="preserve">One of the missions of the Distribution Law </w:t>
      </w:r>
      <w:proofErr w:type="spellStart"/>
      <w:r>
        <w:t>Center</w:t>
      </w:r>
      <w:proofErr w:type="spellEnd"/>
      <w:r>
        <w:t xml:space="preserve"> is to </w:t>
      </w:r>
      <w:r w:rsidR="003F6C9C">
        <w:t>provide</w:t>
      </w:r>
      <w:r>
        <w:t xml:space="preserve"> accessible information on the law applicable to vertical agreements. </w:t>
      </w:r>
      <w:r w:rsidR="006E53A2">
        <w:t xml:space="preserve">In line </w:t>
      </w:r>
      <w:r>
        <w:t xml:space="preserve">with that mission, the Distribution Law </w:t>
      </w:r>
      <w:proofErr w:type="spellStart"/>
      <w:r>
        <w:t>Center</w:t>
      </w:r>
      <w:proofErr w:type="spellEnd"/>
      <w:r>
        <w:t xml:space="preserve"> will start as of next week with the </w:t>
      </w:r>
      <w:r w:rsidRPr="001072A2">
        <w:rPr>
          <w:b/>
        </w:rPr>
        <w:t>release of “</w:t>
      </w:r>
      <w:r w:rsidR="001072A2" w:rsidRPr="001072A2">
        <w:rPr>
          <w:b/>
        </w:rPr>
        <w:t xml:space="preserve">DLC </w:t>
      </w:r>
      <w:r w:rsidRPr="001072A2">
        <w:rPr>
          <w:b/>
        </w:rPr>
        <w:t>countdown” newsletters</w:t>
      </w:r>
      <w:r>
        <w:t xml:space="preserve"> providing practical, comprehensive and hands-on guidance on the changes to be expected.</w:t>
      </w:r>
      <w:r w:rsidR="00E82CD1">
        <w:t xml:space="preserve"> </w:t>
      </w:r>
      <w:r w:rsidR="00E82CD1" w:rsidRPr="00D81D84">
        <w:t>The input is based on the most recent proposals issued by DG Competition and may change as amended proposals become available.</w:t>
      </w:r>
      <w:r w:rsidR="00E82CD1">
        <w:t xml:space="preserve"> </w:t>
      </w:r>
      <w:r>
        <w:t xml:space="preserve"> </w:t>
      </w:r>
    </w:p>
    <w:p w14:paraId="3373D3A4" w14:textId="5F4E6588" w:rsidR="0063663E" w:rsidRDefault="0063663E" w:rsidP="0063663E">
      <w:r>
        <w:t xml:space="preserve">Counting down towards </w:t>
      </w:r>
      <w:r w:rsidRPr="001072A2">
        <w:t>1 June 2022</w:t>
      </w:r>
      <w:r w:rsidR="006E53A2">
        <w:t>,</w:t>
      </w:r>
      <w:r>
        <w:t xml:space="preserve"> we aim to provide you with </w:t>
      </w:r>
      <w:r w:rsidRPr="001072A2">
        <w:rPr>
          <w:b/>
        </w:rPr>
        <w:t>regular updates</w:t>
      </w:r>
      <w:r>
        <w:t xml:space="preserve"> a</w:t>
      </w:r>
      <w:r w:rsidR="006E53A2">
        <w:t>s well as</w:t>
      </w:r>
      <w:r>
        <w:t xml:space="preserve"> the necessary legal knowhow in order to fully prepare your business for the future. We will be your reliable source of information with respect to this complex area of law.</w:t>
      </w:r>
    </w:p>
    <w:p w14:paraId="7D8B09C6" w14:textId="26D04BEC" w:rsidR="0063663E" w:rsidRDefault="0063663E" w:rsidP="0063663E">
      <w:r>
        <w:t>The “</w:t>
      </w:r>
      <w:r w:rsidR="001072A2">
        <w:t xml:space="preserve">DLC </w:t>
      </w:r>
      <w:r>
        <w:t xml:space="preserve">countdown” newsletters will be in </w:t>
      </w:r>
      <w:r w:rsidRPr="001072A2">
        <w:rPr>
          <w:b/>
        </w:rPr>
        <w:t>English</w:t>
      </w:r>
      <w:r>
        <w:t xml:space="preserve"> as that is the working language of the Distribution Law </w:t>
      </w:r>
      <w:proofErr w:type="spellStart"/>
      <w:r>
        <w:t>Center</w:t>
      </w:r>
      <w:proofErr w:type="spellEnd"/>
      <w:r>
        <w:t xml:space="preserve">. The Distribution Law </w:t>
      </w:r>
      <w:proofErr w:type="spellStart"/>
      <w:r>
        <w:t>Center</w:t>
      </w:r>
      <w:proofErr w:type="spellEnd"/>
      <w:r>
        <w:t xml:space="preserve"> has specialized teams in each of the European countries, so please do not hesitate to contact them in case you need additional clarifications in the language of your jurisdiction.</w:t>
      </w:r>
      <w:r w:rsidR="00690A9E">
        <w:t xml:space="preserve"> Some of the teams will prepare in any event local translations of the newsletters. </w:t>
      </w:r>
    </w:p>
    <w:p w14:paraId="3DE0D769" w14:textId="77777777" w:rsidR="00766D09" w:rsidRDefault="0063663E" w:rsidP="00766D09">
      <w:pPr>
        <w:pStyle w:val="Nagwek2"/>
      </w:pPr>
      <w:r>
        <w:t xml:space="preserve">More content offered by the Distribution Law </w:t>
      </w:r>
      <w:proofErr w:type="spellStart"/>
      <w:r>
        <w:t>Center</w:t>
      </w:r>
      <w:proofErr w:type="spellEnd"/>
    </w:p>
    <w:p w14:paraId="75B4BCE5" w14:textId="77777777" w:rsidR="0063663E" w:rsidRDefault="0063663E" w:rsidP="00D879FD">
      <w:r>
        <w:t xml:space="preserve">Feel free to check out the Distribution Law </w:t>
      </w:r>
      <w:proofErr w:type="spellStart"/>
      <w:r>
        <w:t>Center</w:t>
      </w:r>
      <w:proofErr w:type="spellEnd"/>
      <w:r>
        <w:t xml:space="preserve"> platform (</w:t>
      </w:r>
      <w:hyperlink r:id="rId12" w:history="1">
        <w:r w:rsidRPr="005B1E79">
          <w:rPr>
            <w:rStyle w:val="Hipercze"/>
          </w:rPr>
          <w:t>www.distributionlawcenter.com</w:t>
        </w:r>
      </w:hyperlink>
      <w:r>
        <w:t xml:space="preserve">) for much more information on the laws governing vertical agreements, covering both competition and commercial law. 27 specialized teams from all over the EEA are working hard to turn the platform into your favourite source of guidance and information. </w:t>
      </w:r>
    </w:p>
    <w:p w14:paraId="31BF90A8" w14:textId="77777777" w:rsidR="0063663E" w:rsidRDefault="0063663E" w:rsidP="0063663E">
      <w:pPr>
        <w:pStyle w:val="Nagwek2"/>
      </w:pPr>
      <w:r>
        <w:t xml:space="preserve">The Distribution Law </w:t>
      </w:r>
      <w:proofErr w:type="spellStart"/>
      <w:r>
        <w:t>Center</w:t>
      </w:r>
      <w:proofErr w:type="spellEnd"/>
    </w:p>
    <w:p w14:paraId="1D1D536D" w14:textId="7C85DF8A" w:rsidR="0063663E" w:rsidRDefault="0063663E" w:rsidP="0063663E">
      <w:r>
        <w:t xml:space="preserve">The </w:t>
      </w:r>
      <w:r w:rsidR="00BC3BFD">
        <w:t>“</w:t>
      </w:r>
      <w:r>
        <w:t>DLC countdown” newsletters are offered to you by</w:t>
      </w:r>
      <w:r w:rsidR="001442BC">
        <w:t xml:space="preserve"> </w:t>
      </w:r>
      <w:proofErr w:type="spellStart"/>
      <w:r w:rsidR="001442BC">
        <w:t>Kancelaria</w:t>
      </w:r>
      <w:proofErr w:type="spellEnd"/>
      <w:r w:rsidR="001442BC">
        <w:t xml:space="preserve"> </w:t>
      </w:r>
      <w:proofErr w:type="spellStart"/>
      <w:r w:rsidR="001442BC">
        <w:t>Modzelewska&amp;Paśnik</w:t>
      </w:r>
      <w:proofErr w:type="spellEnd"/>
      <w:r w:rsidR="001442BC">
        <w:t>.</w:t>
      </w:r>
    </w:p>
    <w:p w14:paraId="091640A3" w14:textId="5AC4C5B8" w:rsidR="0063663E" w:rsidRDefault="0063663E" w:rsidP="0063663E">
      <w:r>
        <w:t xml:space="preserve">If you need more information, please contact </w:t>
      </w:r>
      <w:r w:rsidR="00692973">
        <w:t xml:space="preserve">Małgorzata Modzelewska </w:t>
      </w:r>
    </w:p>
    <w:p w14:paraId="3B5CD8E0" w14:textId="5FE71589" w:rsidR="00692973" w:rsidRPr="009A1494" w:rsidRDefault="00692973" w:rsidP="0063663E">
      <w:r w:rsidRPr="00692973">
        <w:t>malgorzata.modzelewska@modzelewskapasnik.pl</w:t>
      </w:r>
    </w:p>
    <w:p w14:paraId="35BA5DFE" w14:textId="7E3E0F33" w:rsidR="0063663E" w:rsidRDefault="0063663E" w:rsidP="0063663E">
      <w:r>
        <w:t xml:space="preserve">The other law firms participating in the Distribution Law </w:t>
      </w:r>
      <w:proofErr w:type="spellStart"/>
      <w:r>
        <w:t>Center</w:t>
      </w:r>
      <w:proofErr w:type="spellEnd"/>
      <w:r>
        <w:t xml:space="preserve"> are the following: </w:t>
      </w:r>
      <w:proofErr w:type="spellStart"/>
      <w:r w:rsidR="00964F40" w:rsidRPr="00964F40">
        <w:t>Arntzen</w:t>
      </w:r>
      <w:proofErr w:type="spellEnd"/>
      <w:r w:rsidR="00964F40" w:rsidRPr="00964F40">
        <w:t xml:space="preserve"> </w:t>
      </w:r>
      <w:r w:rsidR="00822722">
        <w:t>d</w:t>
      </w:r>
      <w:r w:rsidR="00964F40" w:rsidRPr="00964F40">
        <w:t xml:space="preserve">e </w:t>
      </w:r>
      <w:proofErr w:type="spellStart"/>
      <w:r w:rsidR="00964F40" w:rsidRPr="00964F40">
        <w:t>Besche</w:t>
      </w:r>
      <w:proofErr w:type="spellEnd"/>
      <w:r w:rsidR="00964F40" w:rsidRPr="00964F40">
        <w:t xml:space="preserve">, </w:t>
      </w:r>
      <w:proofErr w:type="spellStart"/>
      <w:r w:rsidR="00964F40" w:rsidRPr="00964F40">
        <w:t>Arnecke</w:t>
      </w:r>
      <w:proofErr w:type="spellEnd"/>
      <w:r w:rsidR="00964F40" w:rsidRPr="00964F40">
        <w:t xml:space="preserve"> </w:t>
      </w:r>
      <w:proofErr w:type="spellStart"/>
      <w:r w:rsidR="00964F40" w:rsidRPr="00964F40">
        <w:t>Sibeth</w:t>
      </w:r>
      <w:proofErr w:type="spellEnd"/>
      <w:r w:rsidR="00964F40" w:rsidRPr="00964F40">
        <w:t xml:space="preserve">, Banning, </w:t>
      </w:r>
      <w:proofErr w:type="spellStart"/>
      <w:r w:rsidR="00964F40" w:rsidRPr="00964F40">
        <w:t>Cederquist</w:t>
      </w:r>
      <w:proofErr w:type="spellEnd"/>
      <w:r w:rsidR="00964F40" w:rsidRPr="00964F40">
        <w:t xml:space="preserve">, </w:t>
      </w:r>
      <w:proofErr w:type="spellStart"/>
      <w:r w:rsidR="00964F40" w:rsidRPr="00964F40">
        <w:t>Chrysses</w:t>
      </w:r>
      <w:proofErr w:type="spellEnd"/>
      <w:r w:rsidR="00964F40" w:rsidRPr="00964F40">
        <w:t xml:space="preserve"> </w:t>
      </w:r>
      <w:proofErr w:type="spellStart"/>
      <w:r w:rsidR="00964F40" w:rsidRPr="00964F40">
        <w:t>Demetriades</w:t>
      </w:r>
      <w:proofErr w:type="spellEnd"/>
      <w:r w:rsidR="00964F40" w:rsidRPr="00964F40">
        <w:t xml:space="preserve"> &amp; Co, CMS Francis Lefebvre, </w:t>
      </w:r>
      <w:r w:rsidR="00964F40" w:rsidRPr="00964F40">
        <w:rPr>
          <w:b/>
        </w:rPr>
        <w:t>contrast</w:t>
      </w:r>
      <w:r w:rsidR="00964F40" w:rsidRPr="00964F40">
        <w:t xml:space="preserve">, </w:t>
      </w:r>
      <w:proofErr w:type="spellStart"/>
      <w:r w:rsidR="00964F40" w:rsidRPr="00964F40">
        <w:t>Delchev</w:t>
      </w:r>
      <w:proofErr w:type="spellEnd"/>
      <w:r w:rsidR="00964F40" w:rsidRPr="00964F40">
        <w:t xml:space="preserve"> &amp; Partners, Dittmar &amp; </w:t>
      </w:r>
      <w:proofErr w:type="spellStart"/>
      <w:r w:rsidR="00964F40" w:rsidRPr="00964F40">
        <w:t>Indrenius</w:t>
      </w:r>
      <w:proofErr w:type="spellEnd"/>
      <w:r w:rsidR="00964F40" w:rsidRPr="00964F40">
        <w:t xml:space="preserve">, </w:t>
      </w:r>
      <w:proofErr w:type="spellStart"/>
      <w:r w:rsidR="00822722" w:rsidRPr="00822722">
        <w:t>Divjak</w:t>
      </w:r>
      <w:proofErr w:type="spellEnd"/>
      <w:r w:rsidR="00822722" w:rsidRPr="00822722">
        <w:t xml:space="preserve"> </w:t>
      </w:r>
      <w:proofErr w:type="spellStart"/>
      <w:r w:rsidR="00822722" w:rsidRPr="00822722">
        <w:t>Topić</w:t>
      </w:r>
      <w:proofErr w:type="spellEnd"/>
      <w:r w:rsidR="00822722" w:rsidRPr="00822722">
        <w:t xml:space="preserve"> </w:t>
      </w:r>
      <w:proofErr w:type="spellStart"/>
      <w:r w:rsidR="00822722" w:rsidRPr="00822722">
        <w:t>Bahtijarević</w:t>
      </w:r>
      <w:proofErr w:type="spellEnd"/>
      <w:r w:rsidR="00822722" w:rsidRPr="00822722">
        <w:t xml:space="preserve"> &amp; Krka</w:t>
      </w:r>
      <w:r w:rsidR="00964F40" w:rsidRPr="00964F40">
        <w:t xml:space="preserve">, Eisenberger + Herzog, Eversheds, Havel &amp; Partners, </w:t>
      </w:r>
      <w:proofErr w:type="spellStart"/>
      <w:r w:rsidR="00964F40" w:rsidRPr="00964F40">
        <w:t>Horten</w:t>
      </w:r>
      <w:proofErr w:type="spellEnd"/>
      <w:r w:rsidR="00964F40" w:rsidRPr="00964F40">
        <w:t xml:space="preserve">, </w:t>
      </w:r>
      <w:proofErr w:type="spellStart"/>
      <w:r w:rsidR="00964F40" w:rsidRPr="00964F40">
        <w:t>Kyriakides</w:t>
      </w:r>
      <w:proofErr w:type="spellEnd"/>
      <w:r w:rsidR="00964F40" w:rsidRPr="00964F40">
        <w:t xml:space="preserve"> </w:t>
      </w:r>
      <w:proofErr w:type="spellStart"/>
      <w:r w:rsidR="00964F40" w:rsidRPr="00964F40">
        <w:t>Georgopoulous</w:t>
      </w:r>
      <w:proofErr w:type="spellEnd"/>
      <w:r w:rsidR="00964F40" w:rsidRPr="00964F40">
        <w:t xml:space="preserve">, </w:t>
      </w:r>
      <w:proofErr w:type="spellStart"/>
      <w:r w:rsidR="00822722" w:rsidRPr="00822722">
        <w:t>Muşat</w:t>
      </w:r>
      <w:proofErr w:type="spellEnd"/>
      <w:r w:rsidR="00822722" w:rsidRPr="00822722">
        <w:t xml:space="preserve"> &amp; </w:t>
      </w:r>
      <w:proofErr w:type="spellStart"/>
      <w:r w:rsidR="00822722" w:rsidRPr="00822722">
        <w:t>Asociaţii</w:t>
      </w:r>
      <w:proofErr w:type="spellEnd"/>
      <w:r w:rsidR="00964F40" w:rsidRPr="00964F40">
        <w:t>, Pavia e Ansaldo, Pérez-</w:t>
      </w:r>
      <w:proofErr w:type="spellStart"/>
      <w:r w:rsidR="00964F40" w:rsidRPr="00964F40">
        <w:t>Llorca</w:t>
      </w:r>
      <w:proofErr w:type="spellEnd"/>
      <w:r w:rsidR="00964F40" w:rsidRPr="00964F40">
        <w:t xml:space="preserve">, Philippe &amp; partners, SBGK, </w:t>
      </w:r>
      <w:proofErr w:type="spellStart"/>
      <w:r w:rsidR="00964F40" w:rsidRPr="00964F40">
        <w:t>Šelih</w:t>
      </w:r>
      <w:proofErr w:type="spellEnd"/>
      <w:r w:rsidR="00964F40" w:rsidRPr="00964F40">
        <w:t xml:space="preserve"> &amp; </w:t>
      </w:r>
      <w:proofErr w:type="spellStart"/>
      <w:r w:rsidR="00964F40" w:rsidRPr="00964F40">
        <w:t>partnerji</w:t>
      </w:r>
      <w:proofErr w:type="spellEnd"/>
      <w:r w:rsidR="00964F40" w:rsidRPr="00964F40">
        <w:t xml:space="preserve">, </w:t>
      </w:r>
      <w:r w:rsidR="000A59E6" w:rsidRPr="000A59E6">
        <w:t xml:space="preserve">SRS </w:t>
      </w:r>
      <w:proofErr w:type="spellStart"/>
      <w:r w:rsidR="000A59E6" w:rsidRPr="000A59E6">
        <w:t>Advogados</w:t>
      </w:r>
      <w:proofErr w:type="spellEnd"/>
      <w:r w:rsidR="00964F40" w:rsidRPr="00964F40">
        <w:t xml:space="preserve"> and TGS Baltic.</w:t>
      </w:r>
    </w:p>
    <w:p w14:paraId="49B4BCA1" w14:textId="77777777" w:rsidR="00D879FD" w:rsidRPr="0063663E" w:rsidRDefault="002F59F8" w:rsidP="0063663E">
      <w:pPr>
        <w:pStyle w:val="Nagwek2"/>
        <w:rPr>
          <w:color w:val="796E65"/>
          <w:sz w:val="22"/>
        </w:rPr>
      </w:pPr>
      <w:r>
        <w:br w:type="page"/>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8168"/>
      </w:tblGrid>
      <w:tr w:rsidR="00D879FD" w14:paraId="12662CEC" w14:textId="77777777" w:rsidTr="00BF5D02">
        <w:trPr>
          <w:trHeight w:val="510"/>
        </w:trPr>
        <w:tc>
          <w:tcPr>
            <w:tcW w:w="858" w:type="dxa"/>
            <w:vAlign w:val="center"/>
          </w:tcPr>
          <w:p w14:paraId="35B540C9" w14:textId="77777777" w:rsidR="00D879FD" w:rsidRDefault="00D879FD" w:rsidP="00D879FD">
            <w:pPr>
              <w:spacing w:line="240" w:lineRule="auto"/>
              <w:jc w:val="center"/>
              <w:rPr>
                <w:smallCaps/>
                <w:color w:val="4E6548"/>
                <w:sz w:val="56"/>
              </w:rPr>
            </w:pPr>
            <w:r w:rsidRPr="00D879FD">
              <w:rPr>
                <w:smallCaps/>
                <w:color w:val="4E6548"/>
                <w:sz w:val="72"/>
              </w:rPr>
              <w:sym w:font="Wingdings" w:char="F0B7"/>
            </w:r>
          </w:p>
        </w:tc>
        <w:tc>
          <w:tcPr>
            <w:tcW w:w="8168" w:type="dxa"/>
            <w:vAlign w:val="center"/>
          </w:tcPr>
          <w:p w14:paraId="05831FC3" w14:textId="77777777" w:rsidR="00D879FD" w:rsidRPr="00971DE6" w:rsidRDefault="00D879FD" w:rsidP="00971DE6">
            <w:pPr>
              <w:pStyle w:val="Podtytu"/>
            </w:pPr>
            <w:r w:rsidRPr="00971DE6">
              <w:t>The final revised VBER is planned to enter into force on 1 June 2022.</w:t>
            </w:r>
          </w:p>
        </w:tc>
      </w:tr>
    </w:tbl>
    <w:p w14:paraId="74D60C3C" w14:textId="77777777" w:rsidR="002F59F8" w:rsidRPr="00E3405B" w:rsidRDefault="00D879FD" w:rsidP="00E3405B">
      <w:pPr>
        <w:tabs>
          <w:tab w:val="left" w:pos="1213"/>
        </w:tabs>
        <w:rPr>
          <w:sz w:val="2"/>
        </w:rPr>
      </w:pPr>
      <w:r w:rsidRPr="00D879FD">
        <w:t xml:space="preserve"> </w:t>
      </w:r>
    </w:p>
    <w:tbl>
      <w:tblPr>
        <w:tblStyle w:val="Tabela-Siatka"/>
        <w:tblW w:w="0" w:type="auto"/>
        <w:tblCellMar>
          <w:left w:w="454" w:type="dxa"/>
          <w:bottom w:w="170" w:type="dxa"/>
          <w:right w:w="397" w:type="dxa"/>
        </w:tblCellMar>
        <w:tblLook w:val="04A0" w:firstRow="1" w:lastRow="0" w:firstColumn="1" w:lastColumn="0" w:noHBand="0" w:noVBand="1"/>
      </w:tblPr>
      <w:tblGrid>
        <w:gridCol w:w="8958"/>
      </w:tblGrid>
      <w:tr w:rsidR="00FB1C48" w14:paraId="19527AE4" w14:textId="77777777" w:rsidTr="002F59F8">
        <w:trPr>
          <w:trHeight w:val="3211"/>
        </w:trPr>
        <w:tc>
          <w:tcPr>
            <w:tcW w:w="8958" w:type="dxa"/>
            <w:tcBorders>
              <w:top w:val="nil"/>
              <w:left w:val="thickThinLargeGap" w:sz="36" w:space="0" w:color="D7D2CB"/>
              <w:bottom w:val="nil"/>
              <w:right w:val="nil"/>
            </w:tcBorders>
            <w:shd w:val="clear" w:color="auto" w:fill="F3F2F1"/>
          </w:tcPr>
          <w:p w14:paraId="52A043F8" w14:textId="77777777" w:rsidR="00BA2261" w:rsidRDefault="00BA2261" w:rsidP="00BA2261">
            <w:pPr>
              <w:pStyle w:val="Nagwek2"/>
              <w:outlineLvl w:val="1"/>
            </w:pPr>
            <w:r>
              <w:t>Want to know more? Stay tuned…</w:t>
            </w:r>
          </w:p>
          <w:p w14:paraId="695C69C4" w14:textId="77777777" w:rsidR="00BA2261" w:rsidRDefault="00C47E1D" w:rsidP="00BA2261">
            <w:r>
              <w:t>Counti</w:t>
            </w:r>
            <w:r w:rsidR="001072A2">
              <w:t>n</w:t>
            </w:r>
            <w:r>
              <w:t>g down towards 1 June 2022</w:t>
            </w:r>
            <w:r w:rsidR="006E53A2">
              <w:t>,</w:t>
            </w:r>
            <w:r>
              <w:t xml:space="preserve"> we aim to provide you with regular updates and the necessary legal knowhow in order to fully prepare your business for the future</w:t>
            </w:r>
            <w:r w:rsidR="00BA2261">
              <w:t xml:space="preserve">. </w:t>
            </w:r>
            <w:r>
              <w:t>Please also</w:t>
            </w:r>
            <w:r w:rsidR="00BA2261">
              <w:t xml:space="preserve"> check out the Distribution Law </w:t>
            </w:r>
            <w:proofErr w:type="spellStart"/>
            <w:r w:rsidR="00BA2261">
              <w:t>Center</w:t>
            </w:r>
            <w:proofErr w:type="spellEnd"/>
            <w:r w:rsidR="00BA2261">
              <w:t xml:space="preserve"> platform (</w:t>
            </w:r>
            <w:hyperlink r:id="rId13" w:history="1">
              <w:r w:rsidR="00BA2261" w:rsidRPr="006C6E36">
                <w:rPr>
                  <w:rStyle w:val="Hipercze"/>
                </w:rPr>
                <w:t>www.distributionlawcenter.com</w:t>
              </w:r>
            </w:hyperlink>
            <w:r w:rsidR="00BA2261">
              <w:t>)</w:t>
            </w:r>
            <w:r w:rsidR="002F59F8">
              <w:t xml:space="preserve"> and our </w:t>
            </w:r>
            <w:hyperlink r:id="rId14" w:history="1">
              <w:r w:rsidR="002F59F8" w:rsidRPr="002F59F8">
                <w:rPr>
                  <w:rStyle w:val="Hipercze"/>
                </w:rPr>
                <w:t>LinkedIn page</w:t>
              </w:r>
            </w:hyperlink>
            <w:r w:rsidR="002F59F8">
              <w:t xml:space="preserve"> </w:t>
            </w:r>
            <w:r w:rsidR="00BA2261">
              <w:t>for much more information on the laws governing vertical agreements, covering both competition and commercial law. 27 specialized teams from all over the EEA are working hard to turn the platform into your favourite source of guidance and information.</w:t>
            </w:r>
          </w:p>
        </w:tc>
      </w:tr>
    </w:tbl>
    <w:p w14:paraId="0C414BE2" w14:textId="77777777" w:rsidR="00BA2261" w:rsidRDefault="00BA2261" w:rsidP="00C10341">
      <w:pPr>
        <w:pStyle w:val="Nagwek2"/>
      </w:pPr>
    </w:p>
    <w:sectPr w:rsidR="00BA2261" w:rsidSect="002A5D2F">
      <w:headerReference w:type="default" r:id="rId15"/>
      <w:pgSz w:w="11906" w:h="16838" w:code="9"/>
      <w:pgMar w:top="709"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A059" w14:textId="77777777" w:rsidR="00CC5E89" w:rsidRDefault="00CC5E89" w:rsidP="00A57421">
      <w:r>
        <w:separator/>
      </w:r>
    </w:p>
  </w:endnote>
  <w:endnote w:type="continuationSeparator" w:id="0">
    <w:p w14:paraId="723E2082" w14:textId="77777777" w:rsidR="00CC5E89" w:rsidRDefault="00CC5E89" w:rsidP="00A5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F70F" w14:textId="77777777" w:rsidR="00CC5E89" w:rsidRDefault="00CC5E89" w:rsidP="00A57421">
      <w:r>
        <w:separator/>
      </w:r>
    </w:p>
  </w:footnote>
  <w:footnote w:type="continuationSeparator" w:id="0">
    <w:p w14:paraId="023C7883" w14:textId="77777777" w:rsidR="00CC5E89" w:rsidRDefault="00CC5E89" w:rsidP="00A5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10F9" w14:paraId="0228E6AF" w14:textId="77777777" w:rsidTr="005010F9">
      <w:tc>
        <w:tcPr>
          <w:tcW w:w="9016" w:type="dxa"/>
        </w:tcPr>
        <w:p w14:paraId="5A943101" w14:textId="2DDA1003" w:rsidR="005010F9" w:rsidRDefault="005010F9" w:rsidP="00A57421">
          <w:pPr>
            <w:pStyle w:val="Nagwek"/>
          </w:pPr>
        </w:p>
      </w:tc>
    </w:tr>
  </w:tbl>
  <w:p w14:paraId="76266997" w14:textId="0C319FC0" w:rsidR="006A79D4" w:rsidRDefault="00131F08" w:rsidP="00A57421">
    <w:pPr>
      <w:pStyle w:val="Nagwek"/>
    </w:pPr>
    <w:r>
      <w:rPr>
        <w:noProof/>
        <w:lang w:val="en-US"/>
      </w:rPr>
      <w:drawing>
        <wp:anchor distT="0" distB="0" distL="114300" distR="114300" simplePos="0" relativeHeight="251661312" behindDoc="0" locked="0" layoutInCell="1" allowOverlap="1" wp14:anchorId="26910293" wp14:editId="1FAB9F9F">
          <wp:simplePos x="0" y="0"/>
          <wp:positionH relativeFrom="column">
            <wp:posOffset>3543300</wp:posOffset>
          </wp:positionH>
          <wp:positionV relativeFrom="paragraph">
            <wp:posOffset>-565785</wp:posOffset>
          </wp:positionV>
          <wp:extent cx="2468999" cy="320055"/>
          <wp:effectExtent l="0" t="0" r="7620" b="0"/>
          <wp:wrapNone/>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468999" cy="320055"/>
                  </a:xfrm>
                  <a:prstGeom prst="rect">
                    <a:avLst/>
                  </a:prstGeom>
                </pic:spPr>
              </pic:pic>
            </a:graphicData>
          </a:graphic>
        </wp:anchor>
      </w:drawing>
    </w:r>
    <w:r w:rsidR="006A79D4" w:rsidRPr="006A79D4">
      <w:rPr>
        <w:noProof/>
        <w:lang w:val="en-US"/>
      </w:rPr>
      <w:drawing>
        <wp:anchor distT="0" distB="0" distL="114300" distR="114300" simplePos="0" relativeHeight="251659264" behindDoc="0" locked="0" layoutInCell="1" allowOverlap="1" wp14:anchorId="00A0B518" wp14:editId="304FFECF">
          <wp:simplePos x="0" y="0"/>
          <wp:positionH relativeFrom="margin">
            <wp:posOffset>-666750</wp:posOffset>
          </wp:positionH>
          <wp:positionV relativeFrom="paragraph">
            <wp:posOffset>-130810</wp:posOffset>
          </wp:positionV>
          <wp:extent cx="3000375" cy="433646"/>
          <wp:effectExtent l="0" t="0" r="0" b="5080"/>
          <wp:wrapThrough wrapText="bothSides">
            <wp:wrapPolygon edited="0">
              <wp:start x="0" y="0"/>
              <wp:lineTo x="0" y="20903"/>
              <wp:lineTo x="8091" y="20903"/>
              <wp:lineTo x="21394" y="20903"/>
              <wp:lineTo x="21394" y="0"/>
              <wp:lineTo x="0" y="0"/>
            </wp:wrapPolygon>
          </wp:wrapThrough>
          <wp:docPr id="15" name="Picture 15" descr="L:\CoE\DLC\3. Website\3. Maneuver\Logo's\Aangepas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E\DLC\3. Website\3. Maneuver\Logo's\Aangepast logo 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612" b="5310"/>
                  <a:stretch/>
                </pic:blipFill>
                <pic:spPr bwMode="auto">
                  <a:xfrm>
                    <a:off x="0" y="0"/>
                    <a:ext cx="3000375" cy="4336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F6D"/>
    <w:multiLevelType w:val="multilevel"/>
    <w:tmpl w:val="8D74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33FB7"/>
    <w:multiLevelType w:val="hybridMultilevel"/>
    <w:tmpl w:val="0AAE1F96"/>
    <w:lvl w:ilvl="0" w:tplc="08AC01AA">
      <w:start w:val="1"/>
      <w:numFmt w:val="bullet"/>
      <w:pStyle w:val="Bullet1"/>
      <w:lvlText w:val=""/>
      <w:lvlJc w:val="left"/>
      <w:pPr>
        <w:ind w:left="78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D4E5CD9"/>
    <w:multiLevelType w:val="multilevel"/>
    <w:tmpl w:val="6C18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EA"/>
    <w:rsid w:val="00091BE3"/>
    <w:rsid w:val="000A59E6"/>
    <w:rsid w:val="000C2D74"/>
    <w:rsid w:val="000D0285"/>
    <w:rsid w:val="000E7E18"/>
    <w:rsid w:val="000F66C3"/>
    <w:rsid w:val="0010363E"/>
    <w:rsid w:val="00106223"/>
    <w:rsid w:val="001072A2"/>
    <w:rsid w:val="00131F08"/>
    <w:rsid w:val="00142AF7"/>
    <w:rsid w:val="001442BC"/>
    <w:rsid w:val="001B4FBB"/>
    <w:rsid w:val="001D06A7"/>
    <w:rsid w:val="001D1D01"/>
    <w:rsid w:val="002926D3"/>
    <w:rsid w:val="002A5D2F"/>
    <w:rsid w:val="002D0F96"/>
    <w:rsid w:val="002F3822"/>
    <w:rsid w:val="002F386A"/>
    <w:rsid w:val="002F59F8"/>
    <w:rsid w:val="003221DC"/>
    <w:rsid w:val="0033337C"/>
    <w:rsid w:val="00345B7A"/>
    <w:rsid w:val="003A1844"/>
    <w:rsid w:val="003A18A6"/>
    <w:rsid w:val="003B6095"/>
    <w:rsid w:val="003D63CC"/>
    <w:rsid w:val="003F6C9C"/>
    <w:rsid w:val="004507DE"/>
    <w:rsid w:val="0046182C"/>
    <w:rsid w:val="004D0183"/>
    <w:rsid w:val="005010F9"/>
    <w:rsid w:val="0053631D"/>
    <w:rsid w:val="005433A9"/>
    <w:rsid w:val="005901E5"/>
    <w:rsid w:val="005E32C4"/>
    <w:rsid w:val="00617DB1"/>
    <w:rsid w:val="006275C9"/>
    <w:rsid w:val="0063663E"/>
    <w:rsid w:val="0064722F"/>
    <w:rsid w:val="006661FE"/>
    <w:rsid w:val="00690A9E"/>
    <w:rsid w:val="00692973"/>
    <w:rsid w:val="006A79D4"/>
    <w:rsid w:val="006E53A2"/>
    <w:rsid w:val="006F33C4"/>
    <w:rsid w:val="007000E6"/>
    <w:rsid w:val="0071537D"/>
    <w:rsid w:val="007566E6"/>
    <w:rsid w:val="00766D09"/>
    <w:rsid w:val="00822722"/>
    <w:rsid w:val="00861A08"/>
    <w:rsid w:val="00885637"/>
    <w:rsid w:val="00960BEF"/>
    <w:rsid w:val="00964F40"/>
    <w:rsid w:val="00971DE6"/>
    <w:rsid w:val="009970B5"/>
    <w:rsid w:val="009B23AC"/>
    <w:rsid w:val="009C0844"/>
    <w:rsid w:val="009C22D0"/>
    <w:rsid w:val="00A220AA"/>
    <w:rsid w:val="00A57421"/>
    <w:rsid w:val="00A80575"/>
    <w:rsid w:val="00AE2EA6"/>
    <w:rsid w:val="00BA2261"/>
    <w:rsid w:val="00BB6A57"/>
    <w:rsid w:val="00BC3BFD"/>
    <w:rsid w:val="00BC47EA"/>
    <w:rsid w:val="00BD5735"/>
    <w:rsid w:val="00BE7A26"/>
    <w:rsid w:val="00BF5D02"/>
    <w:rsid w:val="00C10341"/>
    <w:rsid w:val="00C14B87"/>
    <w:rsid w:val="00C15951"/>
    <w:rsid w:val="00C47E1D"/>
    <w:rsid w:val="00CB03E6"/>
    <w:rsid w:val="00CC5E89"/>
    <w:rsid w:val="00D4043E"/>
    <w:rsid w:val="00D879FD"/>
    <w:rsid w:val="00DE4F86"/>
    <w:rsid w:val="00DF14FF"/>
    <w:rsid w:val="00E12B17"/>
    <w:rsid w:val="00E2318D"/>
    <w:rsid w:val="00E33AA6"/>
    <w:rsid w:val="00E3405B"/>
    <w:rsid w:val="00E36613"/>
    <w:rsid w:val="00E742E8"/>
    <w:rsid w:val="00E82CD1"/>
    <w:rsid w:val="00E87962"/>
    <w:rsid w:val="00ED035C"/>
    <w:rsid w:val="00F8236F"/>
    <w:rsid w:val="00FB1C48"/>
    <w:rsid w:val="00FB2B21"/>
    <w:rsid w:val="00FD6DDA"/>
    <w:rsid w:val="00FF6FE4"/>
    <w:rsid w:val="00FF7F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683CB"/>
  <w15:chartTrackingRefBased/>
  <w15:docId w15:val="{759F77F5-39AE-4D10-9D17-E08B842D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2261"/>
    <w:pPr>
      <w:spacing w:line="336" w:lineRule="auto"/>
      <w:jc w:val="both"/>
    </w:pPr>
    <w:rPr>
      <w:rFonts w:asciiTheme="majorHAnsi" w:hAnsiTheme="majorHAnsi" w:cstheme="majorHAnsi"/>
      <w:color w:val="796E65"/>
      <w:lang w:val="en-GB"/>
    </w:rPr>
  </w:style>
  <w:style w:type="paragraph" w:styleId="Nagwek1">
    <w:name w:val="heading 1"/>
    <w:basedOn w:val="Normalny"/>
    <w:next w:val="Normalny"/>
    <w:link w:val="Nagwek1Znak"/>
    <w:uiPriority w:val="9"/>
    <w:qFormat/>
    <w:rsid w:val="00A57421"/>
    <w:pPr>
      <w:keepNext/>
      <w:keepLines/>
      <w:spacing w:before="240" w:after="0"/>
      <w:jc w:val="center"/>
      <w:outlineLvl w:val="0"/>
    </w:pPr>
    <w:rPr>
      <w:rFonts w:ascii="Arial" w:eastAsiaTheme="majorEastAsia" w:hAnsi="Arial" w:cstheme="majorBidi"/>
      <w:b/>
      <w:caps/>
      <w:color w:val="4E6548"/>
      <w:sz w:val="28"/>
      <w:szCs w:val="32"/>
    </w:rPr>
  </w:style>
  <w:style w:type="paragraph" w:styleId="Nagwek2">
    <w:name w:val="heading 2"/>
    <w:basedOn w:val="Normalny"/>
    <w:next w:val="Normalny"/>
    <w:link w:val="Nagwek2Znak"/>
    <w:uiPriority w:val="9"/>
    <w:unhideWhenUsed/>
    <w:qFormat/>
    <w:rsid w:val="00A57421"/>
    <w:pPr>
      <w:keepNext/>
      <w:keepLines/>
      <w:spacing w:before="360" w:after="240"/>
      <w:outlineLvl w:val="1"/>
    </w:pPr>
    <w:rPr>
      <w:rFonts w:ascii="Arial" w:eastAsiaTheme="majorEastAsia" w:hAnsi="Arial" w:cs="Arial"/>
      <w:b/>
      <w:smallCaps/>
      <w:color w:val="4E6548"/>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57421"/>
    <w:rPr>
      <w:rFonts w:ascii="Arial" w:eastAsiaTheme="majorEastAsia" w:hAnsi="Arial" w:cstheme="majorBidi"/>
      <w:b/>
      <w:caps/>
      <w:color w:val="4E6548"/>
      <w:sz w:val="28"/>
      <w:szCs w:val="32"/>
      <w:lang w:val="en-GB"/>
    </w:rPr>
  </w:style>
  <w:style w:type="paragraph" w:styleId="Tytu">
    <w:name w:val="Title"/>
    <w:basedOn w:val="Normalny"/>
    <w:next w:val="Normalny"/>
    <w:link w:val="TytuZnak"/>
    <w:qFormat/>
    <w:rsid w:val="001D06A7"/>
    <w:pPr>
      <w:spacing w:after="0" w:line="240" w:lineRule="auto"/>
      <w:contextualSpacing/>
      <w:jc w:val="center"/>
    </w:pPr>
    <w:rPr>
      <w:rFonts w:ascii="Arial" w:eastAsiaTheme="majorEastAsia" w:hAnsi="Arial" w:cstheme="majorBidi"/>
      <w:b/>
      <w:caps/>
      <w:color w:val="FFFFFF" w:themeColor="background1"/>
      <w:spacing w:val="20"/>
      <w:kern w:val="28"/>
      <w:sz w:val="32"/>
      <w:szCs w:val="34"/>
    </w:rPr>
  </w:style>
  <w:style w:type="character" w:customStyle="1" w:styleId="TytuZnak">
    <w:name w:val="Tytuł Znak"/>
    <w:basedOn w:val="Domylnaczcionkaakapitu"/>
    <w:link w:val="Tytu"/>
    <w:rsid w:val="001D06A7"/>
    <w:rPr>
      <w:rFonts w:ascii="Arial" w:eastAsiaTheme="majorEastAsia" w:hAnsi="Arial" w:cstheme="majorBidi"/>
      <w:b/>
      <w:caps/>
      <w:color w:val="FFFFFF" w:themeColor="background1"/>
      <w:spacing w:val="20"/>
      <w:kern w:val="28"/>
      <w:sz w:val="32"/>
      <w:szCs w:val="34"/>
      <w:lang w:val="en-GB"/>
    </w:rPr>
  </w:style>
  <w:style w:type="paragraph" w:styleId="Nagwek">
    <w:name w:val="header"/>
    <w:basedOn w:val="Normalny"/>
    <w:link w:val="NagwekZnak"/>
    <w:uiPriority w:val="99"/>
    <w:unhideWhenUsed/>
    <w:rsid w:val="00E742E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742E8"/>
    <w:rPr>
      <w:rFonts w:ascii="Arial" w:hAnsi="Arial"/>
      <w:color w:val="000000"/>
      <w:sz w:val="21"/>
    </w:rPr>
  </w:style>
  <w:style w:type="paragraph" w:styleId="Stopka">
    <w:name w:val="footer"/>
    <w:basedOn w:val="Normalny"/>
    <w:link w:val="StopkaZnak"/>
    <w:uiPriority w:val="99"/>
    <w:unhideWhenUsed/>
    <w:rsid w:val="00E742E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742E8"/>
    <w:rPr>
      <w:rFonts w:ascii="Arial" w:hAnsi="Arial"/>
      <w:color w:val="000000"/>
      <w:sz w:val="21"/>
    </w:rPr>
  </w:style>
  <w:style w:type="character" w:customStyle="1" w:styleId="Nagwek2Znak">
    <w:name w:val="Nagłówek 2 Znak"/>
    <w:basedOn w:val="Domylnaczcionkaakapitu"/>
    <w:link w:val="Nagwek2"/>
    <w:uiPriority w:val="9"/>
    <w:rsid w:val="00A57421"/>
    <w:rPr>
      <w:rFonts w:ascii="Arial" w:eastAsiaTheme="majorEastAsia" w:hAnsi="Arial" w:cs="Arial"/>
      <w:b/>
      <w:smallCaps/>
      <w:color w:val="4E6548"/>
      <w:sz w:val="32"/>
      <w:szCs w:val="24"/>
      <w:lang w:val="en-GB"/>
    </w:rPr>
  </w:style>
  <w:style w:type="paragraph" w:customStyle="1" w:styleId="CountdownNumber">
    <w:name w:val="Countdown Number"/>
    <w:basedOn w:val="Normalny"/>
    <w:link w:val="CountdownNumberChar"/>
    <w:qFormat/>
    <w:rsid w:val="00971DE6"/>
    <w:pPr>
      <w:spacing w:after="0" w:line="240" w:lineRule="auto"/>
      <w:jc w:val="center"/>
    </w:pPr>
    <w:rPr>
      <w:rFonts w:ascii="Arial" w:hAnsi="Arial"/>
      <w:b/>
      <w:color w:val="4E6548"/>
      <w:sz w:val="32"/>
      <w:szCs w:val="32"/>
    </w:rPr>
  </w:style>
  <w:style w:type="character" w:styleId="Odwoaniedelikatne">
    <w:name w:val="Subtle Reference"/>
    <w:basedOn w:val="Domylnaczcionkaakapitu"/>
    <w:uiPriority w:val="31"/>
    <w:rsid w:val="0071537D"/>
    <w:rPr>
      <w:smallCaps/>
      <w:color w:val="5A5A5A" w:themeColor="text1" w:themeTint="A5"/>
    </w:rPr>
  </w:style>
  <w:style w:type="character" w:customStyle="1" w:styleId="CountdownNumberChar">
    <w:name w:val="Countdown Number Char"/>
    <w:basedOn w:val="Domylnaczcionkaakapitu"/>
    <w:link w:val="CountdownNumber"/>
    <w:rsid w:val="00971DE6"/>
    <w:rPr>
      <w:rFonts w:ascii="Arial" w:hAnsi="Arial" w:cstheme="majorHAnsi"/>
      <w:b/>
      <w:color w:val="4E6548"/>
      <w:sz w:val="32"/>
      <w:szCs w:val="32"/>
      <w:lang w:val="en-GB"/>
    </w:rPr>
  </w:style>
  <w:style w:type="paragraph" w:styleId="Podtytu">
    <w:name w:val="Subtitle"/>
    <w:basedOn w:val="Normalny"/>
    <w:next w:val="Normalny"/>
    <w:link w:val="PodtytuZnak"/>
    <w:uiPriority w:val="11"/>
    <w:qFormat/>
    <w:rsid w:val="00971DE6"/>
    <w:pPr>
      <w:spacing w:after="0" w:line="240" w:lineRule="auto"/>
      <w:jc w:val="left"/>
    </w:pPr>
    <w:rPr>
      <w:smallCaps/>
      <w:color w:val="4E6548"/>
      <w:sz w:val="24"/>
    </w:rPr>
  </w:style>
  <w:style w:type="character" w:customStyle="1" w:styleId="PodtytuZnak">
    <w:name w:val="Podtytuł Znak"/>
    <w:basedOn w:val="Domylnaczcionkaakapitu"/>
    <w:link w:val="Podtytu"/>
    <w:uiPriority w:val="11"/>
    <w:rsid w:val="00971DE6"/>
    <w:rPr>
      <w:rFonts w:asciiTheme="majorHAnsi" w:hAnsiTheme="majorHAnsi" w:cstheme="majorHAnsi"/>
      <w:smallCaps/>
      <w:color w:val="4E6548"/>
      <w:sz w:val="24"/>
      <w:lang w:val="en-GB"/>
    </w:rPr>
  </w:style>
  <w:style w:type="paragraph" w:styleId="Akapitzlist">
    <w:name w:val="List Paragraph"/>
    <w:basedOn w:val="Normalny"/>
    <w:link w:val="AkapitzlistZnak"/>
    <w:uiPriority w:val="34"/>
    <w:rsid w:val="0071537D"/>
    <w:pPr>
      <w:ind w:left="720"/>
      <w:contextualSpacing/>
    </w:pPr>
  </w:style>
  <w:style w:type="paragraph" w:customStyle="1" w:styleId="Bullet1">
    <w:name w:val="Bullet 1"/>
    <w:basedOn w:val="Akapitzlist"/>
    <w:link w:val="Bullet1Char"/>
    <w:qFormat/>
    <w:rsid w:val="001D06A7"/>
    <w:pPr>
      <w:numPr>
        <w:numId w:val="1"/>
      </w:numPr>
      <w:ind w:left="782" w:hanging="357"/>
      <w:contextualSpacing w:val="0"/>
    </w:pPr>
  </w:style>
  <w:style w:type="table" w:styleId="Tabela-Siatka">
    <w:name w:val="Table Grid"/>
    <w:basedOn w:val="Standardowy"/>
    <w:uiPriority w:val="39"/>
    <w:rsid w:val="0050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71537D"/>
    <w:rPr>
      <w:rFonts w:ascii="Arial" w:hAnsi="Arial"/>
      <w:color w:val="796E65"/>
      <w:lang w:val="en-GB"/>
    </w:rPr>
  </w:style>
  <w:style w:type="character" w:customStyle="1" w:styleId="Bullet1Char">
    <w:name w:val="Bullet 1 Char"/>
    <w:basedOn w:val="AkapitzlistZnak"/>
    <w:link w:val="Bullet1"/>
    <w:rsid w:val="001D06A7"/>
    <w:rPr>
      <w:rFonts w:asciiTheme="majorHAnsi" w:hAnsiTheme="majorHAnsi" w:cstheme="majorHAnsi"/>
      <w:color w:val="796E65"/>
      <w:lang w:val="en-GB"/>
    </w:rPr>
  </w:style>
  <w:style w:type="character" w:styleId="Hipercze">
    <w:name w:val="Hyperlink"/>
    <w:basedOn w:val="Domylnaczcionkaakapitu"/>
    <w:uiPriority w:val="99"/>
    <w:unhideWhenUsed/>
    <w:rsid w:val="00BA2261"/>
    <w:rPr>
      <w:color w:val="4E6548"/>
      <w:u w:val="single"/>
    </w:rPr>
  </w:style>
  <w:style w:type="character" w:customStyle="1" w:styleId="UnresolvedMention1">
    <w:name w:val="Unresolved Mention1"/>
    <w:basedOn w:val="Domylnaczcionkaakapitu"/>
    <w:uiPriority w:val="99"/>
    <w:semiHidden/>
    <w:unhideWhenUsed/>
    <w:rsid w:val="00FB2B21"/>
    <w:rPr>
      <w:color w:val="605E5C"/>
      <w:shd w:val="clear" w:color="auto" w:fill="E1DFDD"/>
    </w:rPr>
  </w:style>
  <w:style w:type="character" w:styleId="UyteHipercze">
    <w:name w:val="FollowedHyperlink"/>
    <w:basedOn w:val="Domylnaczcionkaakapitu"/>
    <w:uiPriority w:val="99"/>
    <w:semiHidden/>
    <w:unhideWhenUsed/>
    <w:rsid w:val="00BA2261"/>
    <w:rPr>
      <w:color w:val="4E6548"/>
      <w:u w:val="single"/>
    </w:rPr>
  </w:style>
  <w:style w:type="paragraph" w:styleId="Cytatintensywny">
    <w:name w:val="Intense Quote"/>
    <w:basedOn w:val="Normalny"/>
    <w:next w:val="Normalny"/>
    <w:link w:val="CytatintensywnyZnak"/>
    <w:uiPriority w:val="30"/>
    <w:rsid w:val="00A80575"/>
    <w:pPr>
      <w:pBdr>
        <w:bottom w:val="single" w:sz="4" w:space="10" w:color="4E6548"/>
      </w:pBdr>
      <w:spacing w:before="360" w:after="360"/>
      <w:ind w:left="864" w:right="864"/>
      <w:jc w:val="center"/>
    </w:pPr>
    <w:rPr>
      <w:i/>
      <w:iCs/>
      <w:color w:val="4E6548"/>
    </w:rPr>
  </w:style>
  <w:style w:type="character" w:customStyle="1" w:styleId="CytatintensywnyZnak">
    <w:name w:val="Cytat intensywny Znak"/>
    <w:basedOn w:val="Domylnaczcionkaakapitu"/>
    <w:link w:val="Cytatintensywny"/>
    <w:uiPriority w:val="30"/>
    <w:rsid w:val="00A80575"/>
    <w:rPr>
      <w:rFonts w:asciiTheme="majorHAnsi" w:hAnsiTheme="majorHAnsi" w:cstheme="majorHAnsi"/>
      <w:i/>
      <w:iCs/>
      <w:color w:val="4E6548"/>
      <w:lang w:val="en-GB"/>
    </w:rPr>
  </w:style>
  <w:style w:type="paragraph" w:styleId="Cytat">
    <w:name w:val="Quote"/>
    <w:basedOn w:val="Normalny"/>
    <w:next w:val="Normalny"/>
    <w:link w:val="CytatZnak"/>
    <w:uiPriority w:val="29"/>
    <w:rsid w:val="00A8057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80575"/>
    <w:rPr>
      <w:rFonts w:asciiTheme="majorHAnsi" w:hAnsiTheme="majorHAnsi" w:cstheme="majorHAnsi"/>
      <w:i/>
      <w:iCs/>
      <w:color w:val="404040" w:themeColor="text1" w:themeTint="BF"/>
      <w:lang w:val="en-GB"/>
    </w:rPr>
  </w:style>
  <w:style w:type="character" w:styleId="Odwoaniedokomentarza">
    <w:name w:val="annotation reference"/>
    <w:basedOn w:val="Domylnaczcionkaakapitu"/>
    <w:uiPriority w:val="99"/>
    <w:semiHidden/>
    <w:unhideWhenUsed/>
    <w:rsid w:val="00FF7FF3"/>
    <w:rPr>
      <w:sz w:val="16"/>
      <w:szCs w:val="16"/>
    </w:rPr>
  </w:style>
  <w:style w:type="paragraph" w:styleId="Tekstkomentarza">
    <w:name w:val="annotation text"/>
    <w:basedOn w:val="Normalny"/>
    <w:link w:val="TekstkomentarzaZnak"/>
    <w:uiPriority w:val="99"/>
    <w:semiHidden/>
    <w:unhideWhenUsed/>
    <w:rsid w:val="00FF7F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7FF3"/>
    <w:rPr>
      <w:rFonts w:asciiTheme="majorHAnsi" w:hAnsiTheme="majorHAnsi" w:cstheme="majorHAnsi"/>
      <w:color w:val="796E65"/>
      <w:sz w:val="20"/>
      <w:szCs w:val="20"/>
      <w:lang w:val="en-GB"/>
    </w:rPr>
  </w:style>
  <w:style w:type="paragraph" w:styleId="Tematkomentarza">
    <w:name w:val="annotation subject"/>
    <w:basedOn w:val="Tekstkomentarza"/>
    <w:next w:val="Tekstkomentarza"/>
    <w:link w:val="TematkomentarzaZnak"/>
    <w:uiPriority w:val="99"/>
    <w:semiHidden/>
    <w:unhideWhenUsed/>
    <w:rsid w:val="00FF7FF3"/>
    <w:rPr>
      <w:b/>
      <w:bCs/>
    </w:rPr>
  </w:style>
  <w:style w:type="character" w:customStyle="1" w:styleId="TematkomentarzaZnak">
    <w:name w:val="Temat komentarza Znak"/>
    <w:basedOn w:val="TekstkomentarzaZnak"/>
    <w:link w:val="Tematkomentarza"/>
    <w:uiPriority w:val="99"/>
    <w:semiHidden/>
    <w:rsid w:val="00FF7FF3"/>
    <w:rPr>
      <w:rFonts w:asciiTheme="majorHAnsi" w:hAnsiTheme="majorHAnsi" w:cstheme="majorHAnsi"/>
      <w:b/>
      <w:bCs/>
      <w:color w:val="796E65"/>
      <w:sz w:val="20"/>
      <w:szCs w:val="20"/>
      <w:lang w:val="en-GB"/>
    </w:rPr>
  </w:style>
  <w:style w:type="paragraph" w:styleId="Tekstdymka">
    <w:name w:val="Balloon Text"/>
    <w:basedOn w:val="Normalny"/>
    <w:link w:val="TekstdymkaZnak"/>
    <w:uiPriority w:val="99"/>
    <w:semiHidden/>
    <w:unhideWhenUsed/>
    <w:rsid w:val="00FF7F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7FF3"/>
    <w:rPr>
      <w:rFonts w:ascii="Segoe UI" w:hAnsi="Segoe UI" w:cs="Segoe UI"/>
      <w:color w:val="796E65"/>
      <w:sz w:val="18"/>
      <w:szCs w:val="18"/>
      <w:lang w:val="en-GB"/>
    </w:rPr>
  </w:style>
  <w:style w:type="paragraph" w:styleId="Poprawka">
    <w:name w:val="Revision"/>
    <w:hidden/>
    <w:uiPriority w:val="99"/>
    <w:semiHidden/>
    <w:rsid w:val="001442BC"/>
    <w:pPr>
      <w:spacing w:after="0" w:line="240" w:lineRule="auto"/>
    </w:pPr>
    <w:rPr>
      <w:rFonts w:asciiTheme="majorHAnsi" w:hAnsiTheme="majorHAnsi" w:cstheme="majorHAnsi"/>
      <w:color w:val="796E6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7117">
      <w:bodyDiv w:val="1"/>
      <w:marLeft w:val="0"/>
      <w:marRight w:val="0"/>
      <w:marTop w:val="0"/>
      <w:marBottom w:val="0"/>
      <w:divBdr>
        <w:top w:val="none" w:sz="0" w:space="0" w:color="auto"/>
        <w:left w:val="none" w:sz="0" w:space="0" w:color="auto"/>
        <w:bottom w:val="none" w:sz="0" w:space="0" w:color="auto"/>
        <w:right w:val="none" w:sz="0" w:space="0" w:color="auto"/>
      </w:divBdr>
    </w:div>
    <w:div w:id="858393582">
      <w:bodyDiv w:val="1"/>
      <w:marLeft w:val="0"/>
      <w:marRight w:val="0"/>
      <w:marTop w:val="0"/>
      <w:marBottom w:val="0"/>
      <w:divBdr>
        <w:top w:val="none" w:sz="0" w:space="0" w:color="auto"/>
        <w:left w:val="none" w:sz="0" w:space="0" w:color="auto"/>
        <w:bottom w:val="none" w:sz="0" w:space="0" w:color="auto"/>
        <w:right w:val="none" w:sz="0" w:space="0" w:color="auto"/>
      </w:divBdr>
    </w:div>
    <w:div w:id="1052656258">
      <w:bodyDiv w:val="1"/>
      <w:marLeft w:val="0"/>
      <w:marRight w:val="0"/>
      <w:marTop w:val="0"/>
      <w:marBottom w:val="0"/>
      <w:divBdr>
        <w:top w:val="none" w:sz="0" w:space="0" w:color="auto"/>
        <w:left w:val="none" w:sz="0" w:space="0" w:color="auto"/>
        <w:bottom w:val="none" w:sz="0" w:space="0" w:color="auto"/>
        <w:right w:val="none" w:sz="0" w:space="0" w:color="auto"/>
      </w:divBdr>
    </w:div>
    <w:div w:id="1084257449">
      <w:bodyDiv w:val="1"/>
      <w:marLeft w:val="0"/>
      <w:marRight w:val="0"/>
      <w:marTop w:val="0"/>
      <w:marBottom w:val="0"/>
      <w:divBdr>
        <w:top w:val="none" w:sz="0" w:space="0" w:color="auto"/>
        <w:left w:val="none" w:sz="0" w:space="0" w:color="auto"/>
        <w:bottom w:val="none" w:sz="0" w:space="0" w:color="auto"/>
        <w:right w:val="none" w:sz="0" w:space="0" w:color="auto"/>
      </w:divBdr>
    </w:div>
    <w:div w:id="1470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tributionlaw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tributionlawce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inkedin.com/company/distribution-law-cen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0913B-5BC2-420D-9865-374A69C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Noël</dc:creator>
  <cp:keywords/>
  <dc:description/>
  <cp:lastModifiedBy>Dariusz Rusajczyk</cp:lastModifiedBy>
  <cp:revision>2</cp:revision>
  <dcterms:created xsi:type="dcterms:W3CDTF">2021-12-07T11:59:00Z</dcterms:created>
  <dcterms:modified xsi:type="dcterms:W3CDTF">2021-12-07T11:59:00Z</dcterms:modified>
</cp:coreProperties>
</file>